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26262" w14:textId="7703198E" w:rsidR="00605548" w:rsidRDefault="00CC7687" w:rsidP="000E0755">
      <w:pPr>
        <w:jc w:val="center"/>
        <w:rPr>
          <w:sz w:val="28"/>
          <w:szCs w:val="28"/>
        </w:rPr>
      </w:pPr>
      <w:r w:rsidRPr="00F15A9B">
        <w:rPr>
          <w:sz w:val="28"/>
          <w:szCs w:val="28"/>
        </w:rPr>
        <w:t>Esercitazione su</w:t>
      </w:r>
      <w:r w:rsidR="00605548">
        <w:rPr>
          <w:sz w:val="28"/>
          <w:szCs w:val="28"/>
        </w:rPr>
        <w:t>lla separazione</w:t>
      </w:r>
      <w:r w:rsidRPr="00F15A9B">
        <w:rPr>
          <w:sz w:val="28"/>
          <w:szCs w:val="28"/>
        </w:rPr>
        <w:t xml:space="preserve"> tra politica e amministrazione</w:t>
      </w:r>
      <w:r w:rsidR="00605548">
        <w:rPr>
          <w:sz w:val="28"/>
          <w:szCs w:val="28"/>
        </w:rPr>
        <w:t xml:space="preserve"> </w:t>
      </w:r>
    </w:p>
    <w:p w14:paraId="31312A0E" w14:textId="77777777" w:rsidR="004C3CF6" w:rsidRDefault="004C3CF6" w:rsidP="000E0755">
      <w:pPr>
        <w:rPr>
          <w:i/>
          <w:iCs/>
          <w:sz w:val="22"/>
          <w:szCs w:val="22"/>
        </w:rPr>
      </w:pPr>
    </w:p>
    <w:p w14:paraId="00948A38" w14:textId="7660DDAB" w:rsidR="004C3CF6" w:rsidRDefault="00B27856" w:rsidP="004C3CF6">
      <w:pPr>
        <w:spacing w:line="276" w:lineRule="auto"/>
        <w:jc w:val="both"/>
        <w:rPr>
          <w:rStyle w:val="eop"/>
          <w:sz w:val="22"/>
          <w:szCs w:val="22"/>
        </w:rPr>
      </w:pPr>
      <w:r w:rsidRPr="006F6955">
        <w:rPr>
          <w:sz w:val="22"/>
          <w:szCs w:val="22"/>
        </w:rPr>
        <w:t>“</w:t>
      </w:r>
      <w:r w:rsidRPr="006F6955">
        <w:rPr>
          <w:rStyle w:val="eop"/>
          <w:i/>
          <w:iCs/>
          <w:sz w:val="22"/>
          <w:szCs w:val="22"/>
        </w:rPr>
        <w:t>Ai vertici politici delle amministrazioni, come i ministri e gli assessori, spetta il compito di definire strategie, programmi e obiettivi, di adottare le decisioni fondamentali sugli assetti istituzionali e sull’allocazione delle risorse; agli organi burocratici, cioè ai dipendenti pubblici (e in particolare ai dirigenti)</w:t>
      </w:r>
      <w:r>
        <w:rPr>
          <w:rStyle w:val="eop"/>
          <w:i/>
          <w:iCs/>
          <w:sz w:val="22"/>
          <w:szCs w:val="22"/>
        </w:rPr>
        <w:t xml:space="preserve">, </w:t>
      </w:r>
      <w:r w:rsidRPr="006F6955">
        <w:rPr>
          <w:rStyle w:val="eop"/>
          <w:i/>
          <w:iCs/>
          <w:sz w:val="22"/>
          <w:szCs w:val="22"/>
        </w:rPr>
        <w:t>spetta il compito di tradurre questi obiettivi e programmi in decisioni concrete</w:t>
      </w:r>
      <w:r w:rsidRPr="006F6955">
        <w:rPr>
          <w:rStyle w:val="eop"/>
          <w:sz w:val="22"/>
          <w:szCs w:val="22"/>
        </w:rPr>
        <w:t>”.</w:t>
      </w:r>
      <w:r w:rsidR="004C3CF6">
        <w:rPr>
          <w:rStyle w:val="eop"/>
          <w:sz w:val="22"/>
          <w:szCs w:val="22"/>
        </w:rPr>
        <w:t xml:space="preserve"> </w:t>
      </w:r>
    </w:p>
    <w:p w14:paraId="3324150C" w14:textId="77777777" w:rsidR="004C3CF6" w:rsidRDefault="00B27856" w:rsidP="004C3CF6">
      <w:pPr>
        <w:spacing w:line="276" w:lineRule="auto"/>
        <w:jc w:val="both"/>
        <w:rPr>
          <w:rStyle w:val="eop"/>
          <w:sz w:val="22"/>
          <w:szCs w:val="22"/>
        </w:rPr>
      </w:pPr>
      <w:r w:rsidRPr="00AE1448">
        <w:rPr>
          <w:rStyle w:val="eop"/>
          <w:sz w:val="22"/>
          <w:szCs w:val="22"/>
        </w:rPr>
        <w:t xml:space="preserve">Il paradigma organizzativo </w:t>
      </w:r>
      <w:r>
        <w:rPr>
          <w:rStyle w:val="eop"/>
          <w:sz w:val="22"/>
          <w:szCs w:val="22"/>
        </w:rPr>
        <w:t>così</w:t>
      </w:r>
      <w:r w:rsidRPr="00AE1448">
        <w:rPr>
          <w:rStyle w:val="eop"/>
          <w:sz w:val="22"/>
          <w:szCs w:val="22"/>
        </w:rPr>
        <w:t xml:space="preserve"> descritto rappresenta il </w:t>
      </w:r>
      <w:r>
        <w:rPr>
          <w:rStyle w:val="eop"/>
          <w:sz w:val="22"/>
          <w:szCs w:val="22"/>
        </w:rPr>
        <w:t>fulcro</w:t>
      </w:r>
      <w:r w:rsidRPr="00AE1448">
        <w:rPr>
          <w:rStyle w:val="eop"/>
          <w:sz w:val="22"/>
          <w:szCs w:val="22"/>
        </w:rPr>
        <w:t xml:space="preserve"> del</w:t>
      </w:r>
      <w:r>
        <w:rPr>
          <w:rStyle w:val="eop"/>
          <w:sz w:val="22"/>
          <w:szCs w:val="22"/>
        </w:rPr>
        <w:t xml:space="preserve">la </w:t>
      </w:r>
      <w:r w:rsidRPr="00AE1448">
        <w:rPr>
          <w:rStyle w:val="eop"/>
          <w:sz w:val="22"/>
          <w:szCs w:val="22"/>
        </w:rPr>
        <w:t>distinzione tra politica e amministrazione</w:t>
      </w:r>
      <w:r>
        <w:rPr>
          <w:rStyle w:val="eop"/>
          <w:sz w:val="22"/>
          <w:szCs w:val="22"/>
        </w:rPr>
        <w:t>, affermata nel nostro ordinamento sin dall’inizio degli anni Novanta. È</w:t>
      </w:r>
      <w:r>
        <w:rPr>
          <w:sz w:val="22"/>
          <w:szCs w:val="22"/>
        </w:rPr>
        <w:t xml:space="preserve"> attribuita</w:t>
      </w:r>
      <w:r w:rsidRPr="00AE1448">
        <w:rPr>
          <w:sz w:val="22"/>
          <w:szCs w:val="22"/>
        </w:rPr>
        <w:t xml:space="preserve"> </w:t>
      </w:r>
      <w:r>
        <w:rPr>
          <w:sz w:val="22"/>
          <w:szCs w:val="22"/>
        </w:rPr>
        <w:t>a</w:t>
      </w:r>
      <w:r w:rsidRPr="00AE1448">
        <w:rPr>
          <w:sz w:val="22"/>
          <w:szCs w:val="22"/>
        </w:rPr>
        <w:t xml:space="preserve">gli organi </w:t>
      </w:r>
      <w:r>
        <w:rPr>
          <w:sz w:val="22"/>
          <w:szCs w:val="22"/>
        </w:rPr>
        <w:t>di governo</w:t>
      </w:r>
      <w:r w:rsidRPr="00AE1448">
        <w:rPr>
          <w:sz w:val="22"/>
          <w:szCs w:val="22"/>
        </w:rPr>
        <w:t xml:space="preserve"> l</w:t>
      </w:r>
      <w:r>
        <w:rPr>
          <w:sz w:val="22"/>
          <w:szCs w:val="22"/>
        </w:rPr>
        <w:t>a</w:t>
      </w:r>
      <w:r w:rsidRPr="00AE1448">
        <w:rPr>
          <w:sz w:val="22"/>
          <w:szCs w:val="22"/>
        </w:rPr>
        <w:t xml:space="preserve"> funzion</w:t>
      </w:r>
      <w:r>
        <w:rPr>
          <w:sz w:val="22"/>
          <w:szCs w:val="22"/>
        </w:rPr>
        <w:t>e</w:t>
      </w:r>
      <w:r w:rsidRPr="00AE1448">
        <w:rPr>
          <w:sz w:val="22"/>
          <w:szCs w:val="22"/>
        </w:rPr>
        <w:t xml:space="preserve"> di indirizzo politico-amministrativo</w:t>
      </w:r>
      <w:r>
        <w:rPr>
          <w:rStyle w:val="Rimandonotaapidipagina"/>
          <w:sz w:val="22"/>
          <w:szCs w:val="22"/>
        </w:rPr>
        <w:footnoteReference w:id="1"/>
      </w:r>
      <w:r w:rsidRPr="00AE1448">
        <w:rPr>
          <w:sz w:val="22"/>
          <w:szCs w:val="22"/>
        </w:rPr>
        <w:t>, che si esplica</w:t>
      </w:r>
      <w:r>
        <w:rPr>
          <w:sz w:val="22"/>
          <w:szCs w:val="22"/>
        </w:rPr>
        <w:t xml:space="preserve"> </w:t>
      </w:r>
      <w:r w:rsidRPr="00AE1448">
        <w:rPr>
          <w:sz w:val="22"/>
          <w:szCs w:val="22"/>
        </w:rPr>
        <w:t>nell</w:t>
      </w:r>
      <w:r>
        <w:rPr>
          <w:sz w:val="22"/>
          <w:szCs w:val="22"/>
        </w:rPr>
        <w:t>’individuazione dei fini e delle strategie da attuare sul piano operativo</w:t>
      </w:r>
      <w:r w:rsidRPr="00AE1448">
        <w:rPr>
          <w:sz w:val="22"/>
          <w:szCs w:val="22"/>
        </w:rPr>
        <w:t xml:space="preserve">, mentre agli organi dirigenziali spetta </w:t>
      </w:r>
      <w:r>
        <w:rPr>
          <w:sz w:val="22"/>
          <w:szCs w:val="22"/>
        </w:rPr>
        <w:t xml:space="preserve">la scelta dei mezzi concreti per perseguirli con </w:t>
      </w:r>
      <w:r w:rsidRPr="00AE1448">
        <w:rPr>
          <w:sz w:val="22"/>
          <w:szCs w:val="22"/>
        </w:rPr>
        <w:t xml:space="preserve">autonomia </w:t>
      </w:r>
      <w:r>
        <w:rPr>
          <w:sz w:val="22"/>
          <w:szCs w:val="22"/>
        </w:rPr>
        <w:t xml:space="preserve">gestionale </w:t>
      </w:r>
      <w:r w:rsidRPr="00AE1448">
        <w:rPr>
          <w:sz w:val="22"/>
          <w:szCs w:val="22"/>
        </w:rPr>
        <w:t>delle risorse</w:t>
      </w:r>
      <w:r>
        <w:rPr>
          <w:sz w:val="22"/>
          <w:szCs w:val="22"/>
        </w:rPr>
        <w:t xml:space="preserve">, </w:t>
      </w:r>
      <w:r w:rsidRPr="00AE1448">
        <w:rPr>
          <w:sz w:val="22"/>
          <w:szCs w:val="22"/>
        </w:rPr>
        <w:t xml:space="preserve">a cui si lega la successiva responsabilità </w:t>
      </w:r>
      <w:r>
        <w:rPr>
          <w:sz w:val="22"/>
          <w:szCs w:val="22"/>
        </w:rPr>
        <w:t>per i risultati conseguiti</w:t>
      </w:r>
      <w:r>
        <w:rPr>
          <w:rStyle w:val="eop"/>
          <w:sz w:val="22"/>
          <w:szCs w:val="22"/>
        </w:rPr>
        <w:t>.</w:t>
      </w:r>
      <w:r w:rsidR="004C3CF6">
        <w:rPr>
          <w:rStyle w:val="eop"/>
          <w:sz w:val="22"/>
          <w:szCs w:val="22"/>
        </w:rPr>
        <w:t xml:space="preserve"> </w:t>
      </w:r>
    </w:p>
    <w:p w14:paraId="6E3C1F89" w14:textId="0F1DD64E" w:rsidR="000E0755" w:rsidRDefault="004C3CF6" w:rsidP="00C955B0">
      <w:pPr>
        <w:spacing w:line="276" w:lineRule="auto"/>
        <w:jc w:val="both"/>
        <w:rPr>
          <w:sz w:val="22"/>
          <w:szCs w:val="22"/>
        </w:rPr>
      </w:pPr>
      <w:r w:rsidRPr="004C3CF6">
        <w:rPr>
          <w:sz w:val="22"/>
          <w:szCs w:val="22"/>
        </w:rPr>
        <w:t>Si tratta della distinzione delle competenze tra politica e amministrazione, oggi recepita dagli articoli 4 e 14 del decreto legislativo n. 165 del 2001. Le competenze della politica e dell’amministrazione</w:t>
      </w:r>
      <w:r>
        <w:rPr>
          <w:sz w:val="22"/>
          <w:szCs w:val="22"/>
        </w:rPr>
        <w:t xml:space="preserve">, seppur distinte, </w:t>
      </w:r>
      <w:r w:rsidRPr="004C3CF6">
        <w:rPr>
          <w:sz w:val="22"/>
          <w:szCs w:val="22"/>
        </w:rPr>
        <w:t xml:space="preserve">sono coordinate tra loro. Da un lato, i dirigenti partecipano alle funzioni di indirizzo; dall’altro, gli organi </w:t>
      </w:r>
      <w:r>
        <w:rPr>
          <w:sz w:val="22"/>
          <w:szCs w:val="22"/>
        </w:rPr>
        <w:t>di governo</w:t>
      </w:r>
      <w:r w:rsidRPr="004C3CF6">
        <w:rPr>
          <w:sz w:val="22"/>
          <w:szCs w:val="22"/>
        </w:rPr>
        <w:t xml:space="preserve"> hanno compiti di controllo e valutazione dei risultati delle attività di gestione. Dunque, il sistema attuale è articolato nel seguente ordine: pianificazione, gestione, controllo e, infine, eventuale premialità o sanzioni.</w:t>
      </w:r>
      <w:r w:rsidR="009E36E4">
        <w:rPr>
          <w:sz w:val="22"/>
          <w:szCs w:val="22"/>
        </w:rPr>
        <w:t xml:space="preserve"> </w:t>
      </w:r>
      <w:proofErr w:type="gramStart"/>
      <w:r w:rsidR="00B27856" w:rsidRPr="006F6955">
        <w:rPr>
          <w:sz w:val="22"/>
          <w:szCs w:val="22"/>
        </w:rPr>
        <w:t>Il</w:t>
      </w:r>
      <w:proofErr w:type="gramEnd"/>
      <w:r w:rsidR="00B27856" w:rsidRPr="006F6955">
        <w:rPr>
          <w:sz w:val="22"/>
          <w:szCs w:val="22"/>
        </w:rPr>
        <w:t xml:space="preserve"> principio di separazione tra politica e amministrazione è di difficile applicazione nel concreto dispiegarsi dell</w:t>
      </w:r>
      <w:r w:rsidR="00B27856">
        <w:rPr>
          <w:sz w:val="22"/>
          <w:szCs w:val="22"/>
        </w:rPr>
        <w:t xml:space="preserve">e dinamiche </w:t>
      </w:r>
      <w:r w:rsidR="00B27856" w:rsidRPr="006F6955">
        <w:rPr>
          <w:sz w:val="22"/>
          <w:szCs w:val="22"/>
        </w:rPr>
        <w:t>amministrativ</w:t>
      </w:r>
      <w:r w:rsidR="00B27856">
        <w:rPr>
          <w:sz w:val="22"/>
          <w:szCs w:val="22"/>
        </w:rPr>
        <w:t>e</w:t>
      </w:r>
      <w:r w:rsidR="00B27856" w:rsidRPr="006F6955">
        <w:rPr>
          <w:sz w:val="22"/>
          <w:szCs w:val="22"/>
        </w:rPr>
        <w:t xml:space="preserve"> e non può risolversi in una netta separazione, </w:t>
      </w:r>
      <w:r w:rsidR="00B27856">
        <w:rPr>
          <w:sz w:val="22"/>
          <w:szCs w:val="22"/>
        </w:rPr>
        <w:t>quanto piuttosto</w:t>
      </w:r>
      <w:r w:rsidR="00B27856" w:rsidRPr="006F6955">
        <w:rPr>
          <w:sz w:val="22"/>
          <w:szCs w:val="22"/>
        </w:rPr>
        <w:t xml:space="preserve"> in una distinzione dei ruoli </w:t>
      </w:r>
      <w:r w:rsidR="00B27856">
        <w:rPr>
          <w:sz w:val="22"/>
          <w:szCs w:val="22"/>
        </w:rPr>
        <w:t>finalizzata ad</w:t>
      </w:r>
      <w:r w:rsidR="00B27856" w:rsidRPr="006F6955">
        <w:rPr>
          <w:sz w:val="22"/>
          <w:szCs w:val="22"/>
        </w:rPr>
        <w:t xml:space="preserve"> evitare spazi di ambiguità</w:t>
      </w:r>
      <w:r w:rsidR="00B27856">
        <w:rPr>
          <w:sz w:val="22"/>
          <w:szCs w:val="22"/>
        </w:rPr>
        <w:t xml:space="preserve">. </w:t>
      </w:r>
      <w:r w:rsidR="00B27856">
        <w:rPr>
          <w:rStyle w:val="eop"/>
          <w:sz w:val="22"/>
          <w:szCs w:val="22"/>
        </w:rPr>
        <w:t xml:space="preserve">Tale separazione delle sfere di competenza mira principalmente a garantire </w:t>
      </w:r>
      <w:r w:rsidR="00B27856">
        <w:rPr>
          <w:sz w:val="22"/>
          <w:szCs w:val="22"/>
        </w:rPr>
        <w:t>l’efficienza, l’efficacia e l’economicità e, in definitiva, il corretto funzionamento delle amministrazioni</w:t>
      </w:r>
      <w:r w:rsidR="00B27856">
        <w:rPr>
          <w:sz w:val="22"/>
          <w:szCs w:val="22"/>
        </w:rPr>
        <w:t xml:space="preserve">. </w:t>
      </w:r>
    </w:p>
    <w:p w14:paraId="0BD8F53E" w14:textId="77777777" w:rsidR="00C955B0" w:rsidRDefault="00C955B0" w:rsidP="00C955B0">
      <w:pPr>
        <w:spacing w:line="276" w:lineRule="auto"/>
        <w:jc w:val="both"/>
        <w:rPr>
          <w:sz w:val="22"/>
          <w:szCs w:val="22"/>
        </w:rPr>
      </w:pPr>
    </w:p>
    <w:p w14:paraId="078063F2" w14:textId="0B704CBA" w:rsidR="00B27856" w:rsidRPr="00A7267E" w:rsidRDefault="004C3CF6" w:rsidP="000E0755">
      <w:pPr>
        <w:spacing w:line="360" w:lineRule="auto"/>
        <w:jc w:val="center"/>
        <w:rPr>
          <w:sz w:val="22"/>
          <w:szCs w:val="22"/>
        </w:rPr>
      </w:pPr>
      <w:r w:rsidRPr="00A7267E">
        <w:t>Consegna</w:t>
      </w:r>
    </w:p>
    <w:p w14:paraId="2534AEC9" w14:textId="7D782450" w:rsidR="00A7267E" w:rsidRPr="00A7267E" w:rsidRDefault="000E0755" w:rsidP="00A7267E">
      <w:pPr>
        <w:spacing w:line="276" w:lineRule="auto"/>
        <w:jc w:val="both"/>
        <w:rPr>
          <w:sz w:val="22"/>
          <w:szCs w:val="22"/>
        </w:rPr>
      </w:pPr>
      <w:r w:rsidRPr="00A7267E">
        <w:rPr>
          <w:sz w:val="22"/>
          <w:szCs w:val="22"/>
        </w:rPr>
        <w:t xml:space="preserve">Si richiede di svolgere una presentazione, a partire dalla lettura dei materiali allegati, approfondendo le seguenti questioni: </w:t>
      </w:r>
    </w:p>
    <w:p w14:paraId="4BE0BE0C" w14:textId="77777777" w:rsidR="00A7267E" w:rsidRDefault="000E0755" w:rsidP="00A7267E">
      <w:pPr>
        <w:pStyle w:val="Paragrafoelenco"/>
        <w:numPr>
          <w:ilvl w:val="0"/>
          <w:numId w:val="4"/>
        </w:numPr>
        <w:spacing w:line="276" w:lineRule="auto"/>
        <w:jc w:val="both"/>
        <w:rPr>
          <w:rFonts w:ascii="Times New Roman" w:hAnsi="Times New Roman" w:cs="Times New Roman"/>
          <w:sz w:val="22"/>
          <w:szCs w:val="22"/>
        </w:rPr>
      </w:pPr>
      <w:r w:rsidRPr="00A7267E">
        <w:rPr>
          <w:rFonts w:ascii="Times New Roman" w:hAnsi="Times New Roman" w:cs="Times New Roman"/>
          <w:sz w:val="22"/>
          <w:szCs w:val="22"/>
        </w:rPr>
        <w:t xml:space="preserve">Come si articola il rapporto tra la politica e l’amministrazione nel contesto attuale? Si risponda a tale domanda analizzando brevemente la normativa che disciplina tale rapporto e la base costituzionale. </w:t>
      </w:r>
    </w:p>
    <w:p w14:paraId="454495A8" w14:textId="77777777" w:rsidR="00A7267E" w:rsidRPr="00A7267E" w:rsidRDefault="00A7267E" w:rsidP="00A7267E">
      <w:pPr>
        <w:spacing w:line="276" w:lineRule="auto"/>
        <w:jc w:val="both"/>
        <w:rPr>
          <w:sz w:val="10"/>
          <w:szCs w:val="10"/>
        </w:rPr>
      </w:pPr>
    </w:p>
    <w:p w14:paraId="6804256B" w14:textId="77777777" w:rsidR="00A7267E" w:rsidRDefault="000E0755" w:rsidP="00A7267E">
      <w:pPr>
        <w:pStyle w:val="Paragrafoelenco"/>
        <w:numPr>
          <w:ilvl w:val="0"/>
          <w:numId w:val="4"/>
        </w:numPr>
        <w:spacing w:line="276" w:lineRule="auto"/>
        <w:jc w:val="both"/>
        <w:rPr>
          <w:rFonts w:ascii="Times New Roman" w:hAnsi="Times New Roman" w:cs="Times New Roman"/>
          <w:sz w:val="22"/>
          <w:szCs w:val="22"/>
        </w:rPr>
      </w:pPr>
      <w:r w:rsidRPr="00A7267E">
        <w:rPr>
          <w:rFonts w:ascii="Times New Roman" w:hAnsi="Times New Roman" w:cs="Times New Roman"/>
          <w:sz w:val="22"/>
          <w:szCs w:val="22"/>
        </w:rPr>
        <w:t>In che modo l’azione delle amministrazioni viene ricondotta nell’ambito del circuito democratico?</w:t>
      </w:r>
    </w:p>
    <w:p w14:paraId="7D725EA7" w14:textId="77777777" w:rsidR="00A7267E" w:rsidRPr="00A7267E" w:rsidRDefault="00A7267E" w:rsidP="00A7267E">
      <w:pPr>
        <w:spacing w:line="276" w:lineRule="auto"/>
        <w:jc w:val="both"/>
        <w:rPr>
          <w:sz w:val="10"/>
          <w:szCs w:val="10"/>
        </w:rPr>
      </w:pPr>
    </w:p>
    <w:p w14:paraId="5CF80C1F" w14:textId="77777777" w:rsidR="00A7267E" w:rsidRDefault="000E0755" w:rsidP="00A7267E">
      <w:pPr>
        <w:pStyle w:val="Paragrafoelenco"/>
        <w:numPr>
          <w:ilvl w:val="0"/>
          <w:numId w:val="4"/>
        </w:numPr>
        <w:spacing w:line="276" w:lineRule="auto"/>
        <w:jc w:val="both"/>
        <w:rPr>
          <w:rFonts w:ascii="Times New Roman" w:hAnsi="Times New Roman" w:cs="Times New Roman"/>
          <w:sz w:val="22"/>
          <w:szCs w:val="22"/>
        </w:rPr>
      </w:pPr>
      <w:r w:rsidRPr="00A7267E">
        <w:rPr>
          <w:rFonts w:ascii="Times New Roman" w:hAnsi="Times New Roman" w:cs="Times New Roman"/>
          <w:sz w:val="22"/>
          <w:szCs w:val="22"/>
        </w:rPr>
        <w:t xml:space="preserve">Quali sono i principali meccanismi finalizzati ad evitare che </w:t>
      </w:r>
      <w:r w:rsidR="00C955B0" w:rsidRPr="00A7267E">
        <w:rPr>
          <w:rFonts w:ascii="Times New Roman" w:hAnsi="Times New Roman" w:cs="Times New Roman"/>
          <w:sz w:val="22"/>
          <w:szCs w:val="22"/>
        </w:rPr>
        <w:t>si realizzi un’interferenza della politica nell’attività amministrativa</w:t>
      </w:r>
      <w:r w:rsidR="0092638D" w:rsidRPr="00A7267E">
        <w:rPr>
          <w:rFonts w:ascii="Times New Roman" w:hAnsi="Times New Roman" w:cs="Times New Roman"/>
          <w:sz w:val="22"/>
          <w:szCs w:val="22"/>
        </w:rPr>
        <w:t xml:space="preserve">, in violazione de principio di separazione? </w:t>
      </w:r>
      <w:r w:rsidR="00CC7687" w:rsidRPr="00A7267E">
        <w:rPr>
          <w:rFonts w:ascii="Times New Roman" w:hAnsi="Times New Roman" w:cs="Times New Roman"/>
          <w:sz w:val="22"/>
          <w:szCs w:val="22"/>
        </w:rPr>
        <w:t xml:space="preserve"> </w:t>
      </w:r>
    </w:p>
    <w:p w14:paraId="03AD00D7" w14:textId="77777777" w:rsidR="00A7267E" w:rsidRPr="00A7267E" w:rsidRDefault="00A7267E" w:rsidP="00A7267E">
      <w:pPr>
        <w:spacing w:line="276" w:lineRule="auto"/>
        <w:jc w:val="both"/>
        <w:rPr>
          <w:sz w:val="10"/>
          <w:szCs w:val="10"/>
        </w:rPr>
      </w:pPr>
    </w:p>
    <w:p w14:paraId="6A9E57B9" w14:textId="552352DC" w:rsidR="0092638D" w:rsidRPr="00A7267E" w:rsidRDefault="0092638D" w:rsidP="00A7267E">
      <w:pPr>
        <w:pStyle w:val="Paragrafoelenco"/>
        <w:numPr>
          <w:ilvl w:val="0"/>
          <w:numId w:val="4"/>
        </w:numPr>
        <w:spacing w:line="276" w:lineRule="auto"/>
        <w:jc w:val="both"/>
        <w:rPr>
          <w:rFonts w:ascii="Times New Roman" w:hAnsi="Times New Roman" w:cs="Times New Roman"/>
          <w:sz w:val="22"/>
          <w:szCs w:val="22"/>
        </w:rPr>
      </w:pPr>
      <w:r w:rsidRPr="00A7267E">
        <w:rPr>
          <w:rFonts w:ascii="Times New Roman" w:hAnsi="Times New Roman" w:cs="Times New Roman"/>
          <w:sz w:val="22"/>
          <w:szCs w:val="22"/>
        </w:rPr>
        <w:t>Quali gli aspetti ancora critici?</w:t>
      </w:r>
    </w:p>
    <w:p w14:paraId="12F926A5" w14:textId="77777777" w:rsidR="000E0755" w:rsidRPr="00A7267E" w:rsidRDefault="000E0755">
      <w:pPr>
        <w:rPr>
          <w:sz w:val="22"/>
          <w:szCs w:val="22"/>
        </w:rPr>
      </w:pPr>
    </w:p>
    <w:p w14:paraId="750DE58F" w14:textId="5F7A2DC1" w:rsidR="000E0755" w:rsidRPr="00A7267E" w:rsidRDefault="000E0755" w:rsidP="008C4CE0">
      <w:pPr>
        <w:spacing w:line="360" w:lineRule="auto"/>
        <w:jc w:val="center"/>
      </w:pPr>
      <w:r w:rsidRPr="00A7267E">
        <w:t>Materiali allegati</w:t>
      </w:r>
    </w:p>
    <w:p w14:paraId="03EB2610" w14:textId="6E8AE0DD" w:rsidR="00CC7687" w:rsidRPr="00A7267E" w:rsidRDefault="00B27856" w:rsidP="00CC7687">
      <w:pPr>
        <w:pStyle w:val="Testonotaapidipagina"/>
        <w:spacing w:line="276" w:lineRule="auto"/>
        <w:jc w:val="both"/>
        <w:rPr>
          <w:rFonts w:ascii="Times New Roman" w:hAnsi="Times New Roman" w:cs="Times New Roman"/>
          <w:sz w:val="22"/>
          <w:szCs w:val="22"/>
        </w:rPr>
      </w:pPr>
      <w:r w:rsidRPr="00A7267E">
        <w:rPr>
          <w:rFonts w:ascii="Times New Roman" w:hAnsi="Times New Roman" w:cs="Times New Roman"/>
          <w:sz w:val="22"/>
          <w:szCs w:val="22"/>
        </w:rPr>
        <w:t>Per una ricostruzione della genesi d</w:t>
      </w:r>
      <w:r w:rsidR="000E0755" w:rsidRPr="00A7267E">
        <w:rPr>
          <w:rFonts w:ascii="Times New Roman" w:hAnsi="Times New Roman" w:cs="Times New Roman"/>
          <w:sz w:val="22"/>
          <w:szCs w:val="22"/>
        </w:rPr>
        <w:t xml:space="preserve">el rapporto tra politica e </w:t>
      </w:r>
      <w:r w:rsidR="00CC7687" w:rsidRPr="00A7267E">
        <w:rPr>
          <w:rFonts w:ascii="Times New Roman" w:hAnsi="Times New Roman" w:cs="Times New Roman"/>
          <w:sz w:val="22"/>
          <w:szCs w:val="22"/>
        </w:rPr>
        <w:t>amministrazione</w:t>
      </w:r>
      <w:r w:rsidR="00240560" w:rsidRPr="00A7267E">
        <w:rPr>
          <w:rFonts w:ascii="Times New Roman" w:hAnsi="Times New Roman" w:cs="Times New Roman"/>
          <w:sz w:val="22"/>
          <w:szCs w:val="22"/>
        </w:rPr>
        <w:t xml:space="preserve"> e </w:t>
      </w:r>
      <w:r w:rsidR="008C4CE0" w:rsidRPr="00A7267E">
        <w:rPr>
          <w:rFonts w:ascii="Times New Roman" w:hAnsi="Times New Roman" w:cs="Times New Roman"/>
          <w:sz w:val="22"/>
          <w:szCs w:val="22"/>
        </w:rPr>
        <w:t xml:space="preserve">delle </w:t>
      </w:r>
      <w:r w:rsidR="00240560" w:rsidRPr="00A7267E">
        <w:rPr>
          <w:rFonts w:ascii="Times New Roman" w:hAnsi="Times New Roman" w:cs="Times New Roman"/>
          <w:sz w:val="22"/>
          <w:szCs w:val="22"/>
        </w:rPr>
        <w:t>questioni ancora critiche di tale rapporto</w:t>
      </w:r>
      <w:r w:rsidRPr="00A7267E">
        <w:rPr>
          <w:rFonts w:ascii="Times New Roman" w:hAnsi="Times New Roman" w:cs="Times New Roman"/>
          <w:sz w:val="22"/>
          <w:szCs w:val="22"/>
        </w:rPr>
        <w:t xml:space="preserve"> si vedano</w:t>
      </w:r>
      <w:r w:rsidR="00CC7687" w:rsidRPr="00A7267E">
        <w:rPr>
          <w:rFonts w:ascii="Times New Roman" w:hAnsi="Times New Roman" w:cs="Times New Roman"/>
          <w:sz w:val="22"/>
          <w:szCs w:val="22"/>
        </w:rPr>
        <w:t xml:space="preserve">:  </w:t>
      </w:r>
    </w:p>
    <w:p w14:paraId="1892AE5B" w14:textId="42FA1E36" w:rsidR="008C4CE0" w:rsidRPr="00F15A9B" w:rsidRDefault="008C4CE0" w:rsidP="00A7267E">
      <w:pPr>
        <w:pStyle w:val="Testonotaapidipagina"/>
        <w:numPr>
          <w:ilvl w:val="0"/>
          <w:numId w:val="3"/>
        </w:numPr>
        <w:spacing w:line="276" w:lineRule="auto"/>
        <w:jc w:val="both"/>
        <w:rPr>
          <w:rFonts w:ascii="Times New Roman" w:hAnsi="Times New Roman" w:cs="Times New Roman"/>
          <w:sz w:val="22"/>
          <w:szCs w:val="22"/>
        </w:rPr>
      </w:pPr>
      <w:r w:rsidRPr="00A7267E">
        <w:rPr>
          <w:rFonts w:ascii="Times New Roman" w:hAnsi="Times New Roman" w:cs="Times New Roman"/>
          <w:sz w:val="22"/>
          <w:szCs w:val="22"/>
        </w:rPr>
        <w:t xml:space="preserve">S. Neri, </w:t>
      </w:r>
      <w:r w:rsidRPr="00A7267E">
        <w:rPr>
          <w:rFonts w:ascii="Times New Roman" w:hAnsi="Times New Roman" w:cs="Times New Roman"/>
          <w:i/>
          <w:iCs/>
          <w:sz w:val="22"/>
          <w:szCs w:val="22"/>
        </w:rPr>
        <w:t>Le principali</w:t>
      </w:r>
      <w:r w:rsidRPr="008C4CE0">
        <w:rPr>
          <w:rFonts w:ascii="Times New Roman" w:hAnsi="Times New Roman" w:cs="Times New Roman"/>
          <w:i/>
          <w:iCs/>
          <w:sz w:val="22"/>
          <w:szCs w:val="22"/>
        </w:rPr>
        <w:t xml:space="preserve"> criticità nel rapporto tra politica e amministrazione a vent’anni dal “Testo Unico” del pubblico impiego</w:t>
      </w:r>
      <w:r w:rsidRPr="008C4CE0">
        <w:rPr>
          <w:rFonts w:ascii="Times New Roman" w:hAnsi="Times New Roman" w:cs="Times New Roman"/>
          <w:sz w:val="22"/>
          <w:szCs w:val="22"/>
        </w:rPr>
        <w:t xml:space="preserve">, in </w:t>
      </w:r>
      <w:r w:rsidRPr="008C4CE0">
        <w:rPr>
          <w:rFonts w:ascii="Times New Roman" w:hAnsi="Times New Roman" w:cs="Times New Roman"/>
          <w:i/>
          <w:iCs/>
          <w:sz w:val="22"/>
          <w:szCs w:val="22"/>
        </w:rPr>
        <w:t>Istituzioni del federalismo</w:t>
      </w:r>
      <w:r w:rsidRPr="008C4CE0">
        <w:rPr>
          <w:rFonts w:ascii="Times New Roman" w:hAnsi="Times New Roman" w:cs="Times New Roman"/>
          <w:sz w:val="22"/>
          <w:szCs w:val="22"/>
        </w:rPr>
        <w:t>, 2021, 2</w:t>
      </w:r>
      <w:r w:rsidR="00BE7511">
        <w:rPr>
          <w:rFonts w:ascii="Times New Roman" w:hAnsi="Times New Roman" w:cs="Times New Roman"/>
          <w:sz w:val="22"/>
          <w:szCs w:val="22"/>
        </w:rPr>
        <w:t xml:space="preserve">. </w:t>
      </w:r>
    </w:p>
    <w:p w14:paraId="54BC1124" w14:textId="228056C8" w:rsidR="00240560" w:rsidRPr="00887D47" w:rsidRDefault="008D4584" w:rsidP="000E0755">
      <w:pPr>
        <w:pStyle w:val="Testonotaapidipagina"/>
        <w:numPr>
          <w:ilvl w:val="0"/>
          <w:numId w:val="3"/>
        </w:numPr>
        <w:spacing w:line="276" w:lineRule="auto"/>
        <w:jc w:val="both"/>
        <w:rPr>
          <w:rFonts w:ascii="Times New Roman" w:hAnsi="Times New Roman" w:cs="Times New Roman"/>
          <w:sz w:val="22"/>
          <w:szCs w:val="22"/>
        </w:rPr>
      </w:pPr>
      <w:r>
        <w:rPr>
          <w:rFonts w:ascii="Times New Roman" w:hAnsi="Times New Roman" w:cs="Times New Roman"/>
          <w:sz w:val="22"/>
          <w:szCs w:val="22"/>
        </w:rPr>
        <w:lastRenderedPageBreak/>
        <w:t xml:space="preserve">D. Bolognino, </w:t>
      </w:r>
      <w:r w:rsidRPr="00A06C18">
        <w:rPr>
          <w:rFonts w:ascii="Times New Roman" w:hAnsi="Times New Roman" w:cs="Times New Roman"/>
          <w:i/>
          <w:iCs/>
          <w:sz w:val="22"/>
          <w:szCs w:val="22"/>
        </w:rPr>
        <w:t xml:space="preserve">Una visione multilivello della distinzione tra politica e amministrazione: i due “centri </w:t>
      </w:r>
      <w:r w:rsidR="00A06C18" w:rsidRPr="00A06C18">
        <w:rPr>
          <w:rFonts w:ascii="Times New Roman" w:hAnsi="Times New Roman" w:cs="Times New Roman"/>
          <w:i/>
          <w:iCs/>
          <w:sz w:val="22"/>
          <w:szCs w:val="22"/>
        </w:rPr>
        <w:t>di potere” alla luce e all’ombra delle evoluzioni-involuzioni normative e delle prassi applicative</w:t>
      </w:r>
      <w:r w:rsidR="00A06C18">
        <w:rPr>
          <w:rFonts w:ascii="Times New Roman" w:hAnsi="Times New Roman" w:cs="Times New Roman"/>
          <w:sz w:val="22"/>
          <w:szCs w:val="22"/>
        </w:rPr>
        <w:t xml:space="preserve">, </w:t>
      </w:r>
      <w:r w:rsidR="00331EC1">
        <w:rPr>
          <w:rFonts w:ascii="Times New Roman" w:hAnsi="Times New Roman" w:cs="Times New Roman"/>
          <w:sz w:val="22"/>
          <w:szCs w:val="22"/>
        </w:rPr>
        <w:t xml:space="preserve">in Istituzioni del federalismo, 2021, 2. </w:t>
      </w:r>
    </w:p>
    <w:p w14:paraId="0CBC4969" w14:textId="13CEDB8F" w:rsidR="00C955B0" w:rsidRDefault="00C955B0" w:rsidP="000E0755">
      <w:pPr>
        <w:pStyle w:val="Testonotaapidipagina"/>
        <w:numPr>
          <w:ilvl w:val="0"/>
          <w:numId w:val="3"/>
        </w:num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B. Cimino, </w:t>
      </w:r>
      <w:r w:rsidRPr="00F15A9B">
        <w:rPr>
          <w:rFonts w:ascii="Times New Roman" w:hAnsi="Times New Roman" w:cs="Times New Roman"/>
          <w:i/>
          <w:iCs/>
          <w:sz w:val="22"/>
          <w:szCs w:val="22"/>
        </w:rPr>
        <w:t>Lo spoils system e l’alibi dell’efficienza</w:t>
      </w:r>
      <w:r>
        <w:rPr>
          <w:rFonts w:ascii="Times New Roman" w:hAnsi="Times New Roman" w:cs="Times New Roman"/>
          <w:sz w:val="22"/>
          <w:szCs w:val="22"/>
        </w:rPr>
        <w:t xml:space="preserve">, in </w:t>
      </w:r>
      <w:r w:rsidRPr="00F15A9B">
        <w:rPr>
          <w:rFonts w:ascii="Times New Roman" w:hAnsi="Times New Roman" w:cs="Times New Roman"/>
          <w:i/>
          <w:iCs/>
          <w:sz w:val="22"/>
          <w:szCs w:val="22"/>
        </w:rPr>
        <w:t>Giornale di diritto pubblico</w:t>
      </w:r>
      <w:r>
        <w:rPr>
          <w:rFonts w:ascii="Times New Roman" w:hAnsi="Times New Roman" w:cs="Times New Roman"/>
          <w:sz w:val="22"/>
          <w:szCs w:val="22"/>
        </w:rPr>
        <w:t>, 2023</w:t>
      </w:r>
      <w:r w:rsidR="00AB7193">
        <w:rPr>
          <w:rFonts w:ascii="Times New Roman" w:hAnsi="Times New Roman" w:cs="Times New Roman"/>
          <w:sz w:val="22"/>
          <w:szCs w:val="22"/>
        </w:rPr>
        <w:t xml:space="preserve">, 1. </w:t>
      </w:r>
    </w:p>
    <w:p w14:paraId="517853B6" w14:textId="77777777" w:rsidR="00887D47" w:rsidRPr="002F2F69" w:rsidRDefault="00887D47" w:rsidP="00887D47">
      <w:pPr>
        <w:pStyle w:val="Testonotaapidipagina"/>
        <w:spacing w:line="276" w:lineRule="auto"/>
        <w:ind w:left="720"/>
        <w:jc w:val="both"/>
        <w:rPr>
          <w:rFonts w:ascii="Times New Roman" w:hAnsi="Times New Roman" w:cs="Times New Roman"/>
          <w:sz w:val="22"/>
          <w:szCs w:val="22"/>
        </w:rPr>
      </w:pPr>
    </w:p>
    <w:p w14:paraId="7F6CEA41" w14:textId="56E710C7" w:rsidR="00596BF0" w:rsidRDefault="00D514AE" w:rsidP="00596BF0">
      <w:pPr>
        <w:pStyle w:val="Testonotaapidipagina"/>
        <w:numPr>
          <w:ilvl w:val="0"/>
          <w:numId w:val="3"/>
        </w:num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Per un maggiore approfondimento, </w:t>
      </w:r>
      <w:r w:rsidR="005E2CA9">
        <w:rPr>
          <w:rFonts w:ascii="Times New Roman" w:hAnsi="Times New Roman" w:cs="Times New Roman"/>
          <w:sz w:val="22"/>
          <w:szCs w:val="22"/>
        </w:rPr>
        <w:t>B. Cimino</w:t>
      </w:r>
      <w:r w:rsidR="00596BF0" w:rsidRPr="000E0755">
        <w:rPr>
          <w:rFonts w:ascii="Times New Roman" w:hAnsi="Times New Roman" w:cs="Times New Roman"/>
          <w:sz w:val="22"/>
          <w:szCs w:val="22"/>
        </w:rPr>
        <w:t>,</w:t>
      </w:r>
      <w:r w:rsidR="00887D47">
        <w:rPr>
          <w:rFonts w:ascii="Times New Roman" w:hAnsi="Times New Roman" w:cs="Times New Roman"/>
          <w:sz w:val="22"/>
          <w:szCs w:val="22"/>
        </w:rPr>
        <w:t xml:space="preserve"> </w:t>
      </w:r>
      <w:r w:rsidR="00887D47" w:rsidRPr="00646AD3">
        <w:rPr>
          <w:rFonts w:ascii="Times New Roman" w:hAnsi="Times New Roman" w:cs="Times New Roman"/>
          <w:i/>
          <w:iCs/>
          <w:sz w:val="22"/>
          <w:szCs w:val="22"/>
        </w:rPr>
        <w:t>I profili funzionali: l’indirizzo e la gestione</w:t>
      </w:r>
      <w:r w:rsidR="00596BF0" w:rsidRPr="000E0755">
        <w:rPr>
          <w:rFonts w:ascii="Times New Roman" w:hAnsi="Times New Roman" w:cs="Times New Roman"/>
          <w:i/>
          <w:iCs/>
          <w:sz w:val="22"/>
          <w:szCs w:val="22"/>
        </w:rPr>
        <w:t xml:space="preserve">, </w:t>
      </w:r>
      <w:r w:rsidR="00596BF0" w:rsidRPr="000E0755">
        <w:rPr>
          <w:rFonts w:ascii="Times New Roman" w:hAnsi="Times New Roman" w:cs="Times New Roman"/>
          <w:sz w:val="22"/>
          <w:szCs w:val="22"/>
        </w:rPr>
        <w:t>in</w:t>
      </w:r>
      <w:r w:rsidR="00596BF0" w:rsidRPr="000E0755">
        <w:rPr>
          <w:rFonts w:ascii="Times New Roman" w:hAnsi="Times New Roman" w:cs="Times New Roman"/>
          <w:i/>
          <w:iCs/>
          <w:sz w:val="22"/>
          <w:szCs w:val="22"/>
        </w:rPr>
        <w:t xml:space="preserve"> Venti anni di “politica e amministrazione” in Italia</w:t>
      </w:r>
      <w:r w:rsidR="00596BF0" w:rsidRPr="000E0755">
        <w:rPr>
          <w:rFonts w:ascii="Times New Roman" w:hAnsi="Times New Roman" w:cs="Times New Roman"/>
          <w:sz w:val="22"/>
          <w:szCs w:val="22"/>
        </w:rPr>
        <w:t xml:space="preserve">, </w:t>
      </w:r>
      <w:r w:rsidR="00596BF0" w:rsidRPr="000E0755">
        <w:rPr>
          <w:rFonts w:ascii="Times New Roman" w:hAnsi="Times New Roman" w:cs="Times New Roman"/>
          <w:i/>
          <w:iCs/>
          <w:sz w:val="22"/>
          <w:szCs w:val="22"/>
        </w:rPr>
        <w:t>IRPA Working Paper – Policy Papers Series</w:t>
      </w:r>
      <w:r w:rsidR="00596BF0" w:rsidRPr="000E0755">
        <w:rPr>
          <w:rFonts w:ascii="Times New Roman" w:hAnsi="Times New Roman" w:cs="Times New Roman"/>
          <w:sz w:val="22"/>
          <w:szCs w:val="22"/>
        </w:rPr>
        <w:t xml:space="preserve">, 2014. </w:t>
      </w:r>
    </w:p>
    <w:p w14:paraId="42EFAA81" w14:textId="77777777" w:rsidR="00596BF0" w:rsidRPr="008C4CE0" w:rsidRDefault="00596BF0" w:rsidP="000E0755">
      <w:pPr>
        <w:spacing w:line="276" w:lineRule="auto"/>
        <w:rPr>
          <w:sz w:val="22"/>
          <w:szCs w:val="22"/>
        </w:rPr>
      </w:pPr>
    </w:p>
    <w:p w14:paraId="1AC348B7" w14:textId="62811652" w:rsidR="00887D47" w:rsidRDefault="00887D47" w:rsidP="00887D47"/>
    <w:p w14:paraId="0ED13F04" w14:textId="0C17EA8B" w:rsidR="00055430" w:rsidRDefault="00055430" w:rsidP="00887D47"/>
    <w:sectPr w:rsidR="00055430">
      <w:footerReference w:type="even"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16F58" w14:textId="77777777" w:rsidR="00A047A0" w:rsidRDefault="00A047A0" w:rsidP="00B27856">
      <w:r>
        <w:separator/>
      </w:r>
    </w:p>
  </w:endnote>
  <w:endnote w:type="continuationSeparator" w:id="0">
    <w:p w14:paraId="15ED8A51" w14:textId="77777777" w:rsidR="00A047A0" w:rsidRDefault="00A047A0" w:rsidP="00B27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88002924"/>
      <w:docPartObj>
        <w:docPartGallery w:val="Page Numbers (Bottom of Page)"/>
        <w:docPartUnique/>
      </w:docPartObj>
    </w:sdtPr>
    <w:sdtContent>
      <w:p w14:paraId="4A563300" w14:textId="645A75AC" w:rsidR="00331EC1" w:rsidRDefault="00331EC1" w:rsidP="002C2911">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6DD2C82C" w14:textId="77777777" w:rsidR="00331EC1" w:rsidRDefault="00331EC1" w:rsidP="00331EC1">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1409375773"/>
      <w:docPartObj>
        <w:docPartGallery w:val="Page Numbers (Bottom of Page)"/>
        <w:docPartUnique/>
      </w:docPartObj>
    </w:sdtPr>
    <w:sdtContent>
      <w:p w14:paraId="39201F08" w14:textId="65D8CF9E" w:rsidR="00331EC1" w:rsidRDefault="00331EC1" w:rsidP="002C2911">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w:t>
        </w:r>
        <w:r>
          <w:rPr>
            <w:rStyle w:val="Numeropagina"/>
          </w:rPr>
          <w:fldChar w:fldCharType="end"/>
        </w:r>
      </w:p>
    </w:sdtContent>
  </w:sdt>
  <w:p w14:paraId="457874A8" w14:textId="77777777" w:rsidR="00331EC1" w:rsidRDefault="00331EC1" w:rsidP="00331EC1">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9AD8E" w14:textId="77777777" w:rsidR="00A047A0" w:rsidRDefault="00A047A0" w:rsidP="00B27856">
      <w:r>
        <w:separator/>
      </w:r>
    </w:p>
  </w:footnote>
  <w:footnote w:type="continuationSeparator" w:id="0">
    <w:p w14:paraId="6428C770" w14:textId="77777777" w:rsidR="00A047A0" w:rsidRDefault="00A047A0" w:rsidP="00B27856">
      <w:r>
        <w:continuationSeparator/>
      </w:r>
    </w:p>
  </w:footnote>
  <w:footnote w:id="1">
    <w:p w14:paraId="33245628" w14:textId="75589385" w:rsidR="00B27856" w:rsidRPr="00C86B6F" w:rsidRDefault="00B27856" w:rsidP="00B27856">
      <w:pPr>
        <w:pStyle w:val="Testonotaapidipagina"/>
        <w:ind w:firstLine="113"/>
        <w:jc w:val="both"/>
        <w:rPr>
          <w:rFonts w:ascii="Times New Roman" w:hAnsi="Times New Roman" w:cs="Times New Roman"/>
          <w:sz w:val="18"/>
          <w:szCs w:val="18"/>
        </w:rPr>
      </w:pPr>
      <w:r w:rsidRPr="00C86B6F">
        <w:rPr>
          <w:rStyle w:val="Rimandonotaapidipagina"/>
          <w:rFonts w:ascii="Times New Roman" w:hAnsi="Times New Roman" w:cs="Times New Roman"/>
          <w:sz w:val="18"/>
          <w:szCs w:val="18"/>
        </w:rPr>
        <w:footnoteRef/>
      </w:r>
      <w:r w:rsidRPr="00C86B6F">
        <w:rPr>
          <w:rFonts w:ascii="Times New Roman" w:hAnsi="Times New Roman" w:cs="Times New Roman"/>
          <w:sz w:val="18"/>
          <w:szCs w:val="18"/>
        </w:rPr>
        <w:t xml:space="preserve"> L’indirizzo politico-amministrativo rappresenta la forma più incisiva di direzione politica dell’amministrazione. Questo deve essere tenuto distinto dall’indirizzo politico generale, poiché, sebbene concettualmente accomunati nella nozione di indirizzo per quanto riguarda il carattere degli atti nei quali si esprime, l’indirizzo politico generale è attribuito agli organi politici di diretta espressione della sovranità popolare. Poiché è un’attività successiva e subordinata alla legislazione, l’indirizzo politico-amministrativo traduce i suoi precetti in prescrizioni concrete per l’azione amministrativa. Dunque, a monte della gestione affidata alla dirigenza, vi sono due livelli di indirizzo che si differenziano sia per contenuto che per destinatari. In primo luogo, l’indirizzo politico generale, attribuito alle assemblee elettive, viene esercitato attraverso atti prevalentemente normativi, come leggi e regolamenti, ma anche tramite alcuni atti amministrativi generali. In secondo luogo, l’indirizzo politico-amministrativo, assegnato agli organi di governo, si esplica non solo in atti normativi, come i regolamenti di organizzazione, ma anche in atti amministrativi generali, ossia gli atti di pianificazione degli obiettivi, dell’organizzazione e del personale delle amministrazioni. Gli organi di governo dell’amministrazione, attraverso l’indirizzo politico-amministrativo, sono chiamati a tradurre i programmi politico-elettorali e il programma di governo in termini di obiettivi concreti e precisi da raggiungere e di impatti da generare, nonché in termini di allocazione delle risorse necessarie per conseguir</w:t>
      </w:r>
      <w:r w:rsidR="00C955B0">
        <w:rPr>
          <w:rFonts w:ascii="Times New Roman" w:hAnsi="Times New Roman" w:cs="Times New Roman"/>
          <w:sz w:val="18"/>
          <w:szCs w:val="18"/>
        </w:rPr>
        <w:t xml:space="preserve">li.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45DEF"/>
    <w:multiLevelType w:val="hybridMultilevel"/>
    <w:tmpl w:val="C5DE51F0"/>
    <w:lvl w:ilvl="0" w:tplc="CDDE48F4">
      <w:start w:val="1"/>
      <w:numFmt w:val="lowerLetter"/>
      <w:lvlText w:val="%1)"/>
      <w:lvlJc w:val="left"/>
      <w:pPr>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646018F"/>
    <w:multiLevelType w:val="hybridMultilevel"/>
    <w:tmpl w:val="58344D4C"/>
    <w:lvl w:ilvl="0" w:tplc="DE46D22A">
      <w:start w:val="1"/>
      <w:numFmt w:val="decimal"/>
      <w:lvlText w:val="%1."/>
      <w:lvlJc w:val="left"/>
      <w:pPr>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6DA64738"/>
    <w:multiLevelType w:val="hybridMultilevel"/>
    <w:tmpl w:val="0B7E5E8C"/>
    <w:lvl w:ilvl="0" w:tplc="B81A5518">
      <w:start w:val="1"/>
      <w:numFmt w:val="decimal"/>
      <w:lvlText w:val="%1."/>
      <w:lvlJc w:val="left"/>
      <w:pPr>
        <w:ind w:left="720" w:hanging="360"/>
      </w:pPr>
      <w:rPr>
        <w:rFonts w:ascii="Times New Roman" w:eastAsiaTheme="minorHAnsi" w:hAnsi="Times New Roman" w:cs="Times New Roman"/>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6600019"/>
    <w:multiLevelType w:val="hybridMultilevel"/>
    <w:tmpl w:val="7A300DF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948851789">
    <w:abstractNumId w:val="3"/>
  </w:num>
  <w:num w:numId="2" w16cid:durableId="1363289158">
    <w:abstractNumId w:val="1"/>
  </w:num>
  <w:num w:numId="3" w16cid:durableId="2113894154">
    <w:abstractNumId w:val="2"/>
  </w:num>
  <w:num w:numId="4" w16cid:durableId="1198011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856"/>
    <w:rsid w:val="00055430"/>
    <w:rsid w:val="000E0755"/>
    <w:rsid w:val="00240560"/>
    <w:rsid w:val="002D5999"/>
    <w:rsid w:val="002F2F69"/>
    <w:rsid w:val="00331EC1"/>
    <w:rsid w:val="00341C8C"/>
    <w:rsid w:val="004C3CF6"/>
    <w:rsid w:val="00593E8B"/>
    <w:rsid w:val="00596BF0"/>
    <w:rsid w:val="005E2CA9"/>
    <w:rsid w:val="00605548"/>
    <w:rsid w:val="00646AD3"/>
    <w:rsid w:val="00887D47"/>
    <w:rsid w:val="008C4CE0"/>
    <w:rsid w:val="008D4584"/>
    <w:rsid w:val="0092638D"/>
    <w:rsid w:val="009E36E4"/>
    <w:rsid w:val="00A047A0"/>
    <w:rsid w:val="00A06C18"/>
    <w:rsid w:val="00A7267E"/>
    <w:rsid w:val="00AB7193"/>
    <w:rsid w:val="00B27856"/>
    <w:rsid w:val="00BE7511"/>
    <w:rsid w:val="00C661A3"/>
    <w:rsid w:val="00C955B0"/>
    <w:rsid w:val="00CC7687"/>
    <w:rsid w:val="00D514AE"/>
    <w:rsid w:val="00E0530B"/>
    <w:rsid w:val="00F15A9B"/>
    <w:rsid w:val="00FF33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39339380"/>
  <w15:chartTrackingRefBased/>
  <w15:docId w15:val="{BD5562E3-8301-3E4F-9A3D-BA1541355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27856"/>
    <w:rPr>
      <w:rFonts w:ascii="Times New Roman" w:eastAsia="Times New Roman" w:hAnsi="Times New Roman"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unhideWhenUsed/>
    <w:rsid w:val="00B27856"/>
    <w:rPr>
      <w:rFonts w:asciiTheme="minorHAnsi" w:eastAsiaTheme="minorHAnsi" w:hAnsiTheme="minorHAnsi" w:cstheme="minorBidi"/>
      <w:sz w:val="20"/>
      <w:szCs w:val="20"/>
      <w:lang w:eastAsia="en-US"/>
    </w:rPr>
  </w:style>
  <w:style w:type="character" w:customStyle="1" w:styleId="TestonotaapidipaginaCarattere">
    <w:name w:val="Testo nota a piè di pagina Carattere"/>
    <w:basedOn w:val="Carpredefinitoparagrafo"/>
    <w:link w:val="Testonotaapidipagina"/>
    <w:uiPriority w:val="99"/>
    <w:rsid w:val="00B27856"/>
    <w:rPr>
      <w:sz w:val="20"/>
      <w:szCs w:val="20"/>
    </w:rPr>
  </w:style>
  <w:style w:type="character" w:styleId="Rimandonotaapidipagina">
    <w:name w:val="footnote reference"/>
    <w:basedOn w:val="Carpredefinitoparagrafo"/>
    <w:uiPriority w:val="99"/>
    <w:unhideWhenUsed/>
    <w:qFormat/>
    <w:rsid w:val="00B27856"/>
    <w:rPr>
      <w:vertAlign w:val="superscript"/>
    </w:rPr>
  </w:style>
  <w:style w:type="character" w:customStyle="1" w:styleId="eop">
    <w:name w:val="eop"/>
    <w:basedOn w:val="Carpredefinitoparagrafo"/>
    <w:rsid w:val="00B27856"/>
  </w:style>
  <w:style w:type="paragraph" w:styleId="Paragrafoelenco">
    <w:name w:val="List Paragraph"/>
    <w:basedOn w:val="Normale"/>
    <w:uiPriority w:val="34"/>
    <w:qFormat/>
    <w:rsid w:val="000E0755"/>
    <w:pPr>
      <w:ind w:left="720"/>
      <w:contextualSpacing/>
    </w:pPr>
    <w:rPr>
      <w:rFonts w:asciiTheme="minorHAnsi" w:eastAsiaTheme="minorHAnsi" w:hAnsiTheme="minorHAnsi" w:cstheme="minorBidi"/>
      <w:lang w:eastAsia="en-US"/>
    </w:rPr>
  </w:style>
  <w:style w:type="paragraph" w:styleId="NormaleWeb">
    <w:name w:val="Normal (Web)"/>
    <w:basedOn w:val="Normale"/>
    <w:uiPriority w:val="99"/>
    <w:semiHidden/>
    <w:unhideWhenUsed/>
    <w:rsid w:val="00FF3350"/>
    <w:pPr>
      <w:spacing w:before="100" w:beforeAutospacing="1" w:after="100" w:afterAutospacing="1"/>
    </w:pPr>
  </w:style>
  <w:style w:type="paragraph" w:styleId="Pidipagina">
    <w:name w:val="footer"/>
    <w:basedOn w:val="Normale"/>
    <w:link w:val="PidipaginaCarattere"/>
    <w:uiPriority w:val="99"/>
    <w:unhideWhenUsed/>
    <w:rsid w:val="00331EC1"/>
    <w:pPr>
      <w:tabs>
        <w:tab w:val="center" w:pos="4819"/>
        <w:tab w:val="right" w:pos="9638"/>
      </w:tabs>
    </w:pPr>
  </w:style>
  <w:style w:type="character" w:customStyle="1" w:styleId="PidipaginaCarattere">
    <w:name w:val="Piè di pagina Carattere"/>
    <w:basedOn w:val="Carpredefinitoparagrafo"/>
    <w:link w:val="Pidipagina"/>
    <w:uiPriority w:val="99"/>
    <w:rsid w:val="00331EC1"/>
    <w:rPr>
      <w:rFonts w:ascii="Times New Roman" w:eastAsia="Times New Roman" w:hAnsi="Times New Roman" w:cs="Times New Roman"/>
      <w:lang w:eastAsia="it-IT"/>
    </w:rPr>
  </w:style>
  <w:style w:type="character" w:styleId="Numeropagina">
    <w:name w:val="page number"/>
    <w:basedOn w:val="Carpredefinitoparagrafo"/>
    <w:uiPriority w:val="99"/>
    <w:semiHidden/>
    <w:unhideWhenUsed/>
    <w:rsid w:val="00331E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265960">
      <w:bodyDiv w:val="1"/>
      <w:marLeft w:val="0"/>
      <w:marRight w:val="0"/>
      <w:marTop w:val="0"/>
      <w:marBottom w:val="0"/>
      <w:divBdr>
        <w:top w:val="none" w:sz="0" w:space="0" w:color="auto"/>
        <w:left w:val="none" w:sz="0" w:space="0" w:color="auto"/>
        <w:bottom w:val="none" w:sz="0" w:space="0" w:color="auto"/>
        <w:right w:val="none" w:sz="0" w:space="0" w:color="auto"/>
      </w:divBdr>
      <w:divsChild>
        <w:div w:id="1296333641">
          <w:marLeft w:val="0"/>
          <w:marRight w:val="0"/>
          <w:marTop w:val="0"/>
          <w:marBottom w:val="0"/>
          <w:divBdr>
            <w:top w:val="none" w:sz="0" w:space="0" w:color="auto"/>
            <w:left w:val="none" w:sz="0" w:space="0" w:color="auto"/>
            <w:bottom w:val="none" w:sz="0" w:space="0" w:color="auto"/>
            <w:right w:val="none" w:sz="0" w:space="0" w:color="auto"/>
          </w:divBdr>
          <w:divsChild>
            <w:div w:id="572932409">
              <w:marLeft w:val="0"/>
              <w:marRight w:val="0"/>
              <w:marTop w:val="0"/>
              <w:marBottom w:val="0"/>
              <w:divBdr>
                <w:top w:val="none" w:sz="0" w:space="0" w:color="auto"/>
                <w:left w:val="none" w:sz="0" w:space="0" w:color="auto"/>
                <w:bottom w:val="none" w:sz="0" w:space="0" w:color="auto"/>
                <w:right w:val="none" w:sz="0" w:space="0" w:color="auto"/>
              </w:divBdr>
              <w:divsChild>
                <w:div w:id="1964533310">
                  <w:marLeft w:val="0"/>
                  <w:marRight w:val="0"/>
                  <w:marTop w:val="0"/>
                  <w:marBottom w:val="0"/>
                  <w:divBdr>
                    <w:top w:val="none" w:sz="0" w:space="0" w:color="auto"/>
                    <w:left w:val="none" w:sz="0" w:space="0" w:color="auto"/>
                    <w:bottom w:val="none" w:sz="0" w:space="0" w:color="auto"/>
                    <w:right w:val="none" w:sz="0" w:space="0" w:color="auto"/>
                  </w:divBdr>
                  <w:divsChild>
                    <w:div w:id="1173036387">
                      <w:marLeft w:val="0"/>
                      <w:marRight w:val="0"/>
                      <w:marTop w:val="0"/>
                      <w:marBottom w:val="0"/>
                      <w:divBdr>
                        <w:top w:val="none" w:sz="0" w:space="0" w:color="auto"/>
                        <w:left w:val="none" w:sz="0" w:space="0" w:color="auto"/>
                        <w:bottom w:val="none" w:sz="0" w:space="0" w:color="auto"/>
                        <w:right w:val="none" w:sz="0" w:space="0" w:color="auto"/>
                      </w:divBdr>
                    </w:div>
                  </w:divsChild>
                </w:div>
                <w:div w:id="19816899">
                  <w:marLeft w:val="0"/>
                  <w:marRight w:val="0"/>
                  <w:marTop w:val="0"/>
                  <w:marBottom w:val="0"/>
                  <w:divBdr>
                    <w:top w:val="none" w:sz="0" w:space="0" w:color="auto"/>
                    <w:left w:val="none" w:sz="0" w:space="0" w:color="auto"/>
                    <w:bottom w:val="none" w:sz="0" w:space="0" w:color="auto"/>
                    <w:right w:val="none" w:sz="0" w:space="0" w:color="auto"/>
                  </w:divBdr>
                  <w:divsChild>
                    <w:div w:id="211019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472290">
      <w:bodyDiv w:val="1"/>
      <w:marLeft w:val="0"/>
      <w:marRight w:val="0"/>
      <w:marTop w:val="0"/>
      <w:marBottom w:val="0"/>
      <w:divBdr>
        <w:top w:val="none" w:sz="0" w:space="0" w:color="auto"/>
        <w:left w:val="none" w:sz="0" w:space="0" w:color="auto"/>
        <w:bottom w:val="none" w:sz="0" w:space="0" w:color="auto"/>
        <w:right w:val="none" w:sz="0" w:space="0" w:color="auto"/>
      </w:divBdr>
      <w:divsChild>
        <w:div w:id="1806923263">
          <w:marLeft w:val="0"/>
          <w:marRight w:val="0"/>
          <w:marTop w:val="0"/>
          <w:marBottom w:val="0"/>
          <w:divBdr>
            <w:top w:val="none" w:sz="0" w:space="0" w:color="auto"/>
            <w:left w:val="none" w:sz="0" w:space="0" w:color="auto"/>
            <w:bottom w:val="none" w:sz="0" w:space="0" w:color="auto"/>
            <w:right w:val="none" w:sz="0" w:space="0" w:color="auto"/>
          </w:divBdr>
          <w:divsChild>
            <w:div w:id="203257517">
              <w:marLeft w:val="0"/>
              <w:marRight w:val="0"/>
              <w:marTop w:val="0"/>
              <w:marBottom w:val="0"/>
              <w:divBdr>
                <w:top w:val="none" w:sz="0" w:space="0" w:color="auto"/>
                <w:left w:val="none" w:sz="0" w:space="0" w:color="auto"/>
                <w:bottom w:val="none" w:sz="0" w:space="0" w:color="auto"/>
                <w:right w:val="none" w:sz="0" w:space="0" w:color="auto"/>
              </w:divBdr>
              <w:divsChild>
                <w:div w:id="83580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539</Words>
  <Characters>3074</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Caterina Cossiga</dc:creator>
  <cp:keywords/>
  <dc:description/>
  <cp:lastModifiedBy>Caterina Cossiga</cp:lastModifiedBy>
  <cp:revision>2</cp:revision>
  <dcterms:created xsi:type="dcterms:W3CDTF">2024-05-02T10:24:00Z</dcterms:created>
  <dcterms:modified xsi:type="dcterms:W3CDTF">2024-05-02T10:24:00Z</dcterms:modified>
</cp:coreProperties>
</file>